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B79AB" w14:textId="77777777" w:rsidR="002D07FB" w:rsidRPr="00613719" w:rsidRDefault="002D07FB" w:rsidP="002D07FB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有时候，平行对于理解经文而言十分重要</w:t>
      </w:r>
    </w:p>
    <w:p w14:paraId="77676152" w14:textId="77777777" w:rsidR="002D07FB" w:rsidRPr="00613719" w:rsidRDefault="002D07FB" w:rsidP="002D07FB">
      <w:pPr>
        <w:tabs>
          <w:tab w:val="left" w:pos="720"/>
        </w:tabs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540D7C93" w14:textId="77777777" w:rsidR="002D07FB" w:rsidRPr="00613719" w:rsidRDefault="002D07FB" w:rsidP="002D07FB">
      <w:pPr>
        <w:tabs>
          <w:tab w:val="left" w:pos="720"/>
        </w:tabs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以赛亚书</w:t>
      </w:r>
      <w:r w:rsidRPr="00613719">
        <w:rPr>
          <w:rFonts w:ascii="SimHei" w:eastAsia="SimHei" w:hAnsi="SimHei"/>
          <w:b/>
          <w:bCs/>
          <w:sz w:val="24"/>
          <w:szCs w:val="24"/>
        </w:rPr>
        <w:t xml:space="preserve"> 55:6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247101EC" w14:textId="77777777" w:rsidR="002D07FB" w:rsidRPr="00613719" w:rsidRDefault="002D07FB" w:rsidP="002D07FB">
      <w:pPr>
        <w:tabs>
          <w:tab w:val="left" w:pos="720"/>
        </w:tabs>
        <w:spacing w:after="0"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13719">
        <w:rPr>
          <w:rFonts w:ascii="SimHei" w:eastAsia="SimHei" w:hAnsi="SimHei" w:hint="eastAsia"/>
          <w:b/>
          <w:bCs/>
          <w:sz w:val="24"/>
          <w:szCs w:val="24"/>
        </w:rPr>
        <w:t>当趁耶和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华</w:t>
      </w:r>
      <w:proofErr w:type="gramEnd"/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可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寻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找的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时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候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寻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找他，</w:t>
      </w:r>
    </w:p>
    <w:p w14:paraId="1E639181" w14:textId="77777777" w:rsidR="002D07FB" w:rsidRPr="00613719" w:rsidRDefault="002D07FB" w:rsidP="002D07FB">
      <w:pPr>
        <w:tabs>
          <w:tab w:val="left" w:pos="720"/>
        </w:tabs>
        <w:spacing w:after="0"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求告他，在他相近的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时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候。</w:t>
      </w:r>
      <w:r w:rsidRPr="00613719">
        <w:rPr>
          <w:rFonts w:ascii="SimHei" w:eastAsia="SimHei" w:hAnsi="SimHei"/>
          <w:b/>
          <w:bCs/>
          <w:sz w:val="24"/>
          <w:szCs w:val="24"/>
        </w:rPr>
        <w:t>[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按原文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词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序</w:t>
      </w:r>
      <w:r w:rsidRPr="00613719">
        <w:rPr>
          <w:rFonts w:ascii="SimHei" w:eastAsia="SimHei" w:hAnsi="SimHei"/>
          <w:b/>
          <w:bCs/>
          <w:sz w:val="24"/>
          <w:szCs w:val="24"/>
        </w:rPr>
        <w:t>]</w:t>
      </w:r>
    </w:p>
    <w:p w14:paraId="6CD1C260" w14:textId="77777777" w:rsidR="002D07FB" w:rsidRPr="00613719" w:rsidRDefault="002D07FB" w:rsidP="002D07FB">
      <w:pPr>
        <w:tabs>
          <w:tab w:val="left" w:pos="720"/>
        </w:tabs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613719">
        <w:rPr>
          <w:rFonts w:ascii="SimHei" w:eastAsia="SimHei" w:hAnsi="SimHei"/>
          <w:b/>
          <w:bCs/>
          <w:sz w:val="24"/>
          <w:szCs w:val="24"/>
        </w:rPr>
        <w:t>6:54</w:t>
      </w:r>
    </w:p>
    <w:p w14:paraId="461AC5C6" w14:textId="77777777" w:rsidR="002D07FB" w:rsidRPr="00613719" w:rsidRDefault="002D07FB" w:rsidP="002D07FB">
      <w:pPr>
        <w:tabs>
          <w:tab w:val="left" w:pos="720"/>
        </w:tabs>
        <w:spacing w:after="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吃</w:t>
      </w:r>
      <w:proofErr w:type="gramStart"/>
      <w:r w:rsidRPr="00613719">
        <w:rPr>
          <w:rFonts w:ascii="SimHei" w:eastAsia="SimHei" w:hAnsi="SimHei" w:hint="eastAsia"/>
          <w:b/>
          <w:bCs/>
          <w:sz w:val="24"/>
          <w:szCs w:val="24"/>
        </w:rPr>
        <w:t>我肉喝我</w:t>
      </w:r>
      <w:proofErr w:type="gramEnd"/>
      <w:r w:rsidRPr="00613719">
        <w:rPr>
          <w:rFonts w:ascii="SimHei" w:eastAsia="SimHei" w:hAnsi="SimHei" w:hint="eastAsia"/>
          <w:b/>
          <w:bCs/>
          <w:sz w:val="24"/>
          <w:szCs w:val="24"/>
        </w:rPr>
        <w:t>血的人就有永生，在末日我要叫他复活。</w:t>
      </w:r>
    </w:p>
    <w:p w14:paraId="0C222229" w14:textId="77777777" w:rsidR="002D07FB" w:rsidRPr="00613719" w:rsidRDefault="002D07FB" w:rsidP="002D07FB">
      <w:pPr>
        <w:tabs>
          <w:tab w:val="left" w:pos="720"/>
        </w:tabs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613719">
        <w:rPr>
          <w:rFonts w:ascii="SimHei" w:eastAsia="SimHei" w:hAnsi="SimHei"/>
          <w:b/>
          <w:bCs/>
          <w:sz w:val="24"/>
          <w:szCs w:val="24"/>
        </w:rPr>
        <w:t>6:40</w:t>
      </w:r>
    </w:p>
    <w:p w14:paraId="14854195" w14:textId="77777777" w:rsidR="002D07FB" w:rsidRPr="00613719" w:rsidRDefault="002D07FB" w:rsidP="002D07FB">
      <w:pPr>
        <w:tabs>
          <w:tab w:val="left" w:pos="720"/>
        </w:tabs>
        <w:spacing w:after="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因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为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我父的意思是</w:t>
      </w:r>
      <w:proofErr w:type="gramStart"/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叫一切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见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子</w:t>
      </w:r>
      <w:proofErr w:type="gramEnd"/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而信的人得永生，并且在末日我要叫他复活</w:t>
      </w:r>
    </w:p>
    <w:p w14:paraId="5731BDEE" w14:textId="77777777" w:rsidR="002D07FB" w:rsidRPr="00613719" w:rsidRDefault="002D07FB" w:rsidP="002D07FB">
      <w:pPr>
        <w:tabs>
          <w:tab w:val="left" w:pos="720"/>
        </w:tabs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提摩太后书</w:t>
      </w:r>
      <w:r w:rsidRPr="00613719">
        <w:rPr>
          <w:rFonts w:ascii="SimHei" w:eastAsia="SimHei" w:hAnsi="SimHei"/>
          <w:b/>
          <w:bCs/>
          <w:sz w:val="24"/>
          <w:szCs w:val="24"/>
        </w:rPr>
        <w:t>2.13</w:t>
      </w:r>
    </w:p>
    <w:p w14:paraId="2A503445" w14:textId="77777777" w:rsidR="002D07FB" w:rsidRPr="00613719" w:rsidRDefault="002D07FB" w:rsidP="002D07FB">
      <w:pPr>
        <w:tabs>
          <w:tab w:val="left" w:pos="720"/>
        </w:tabs>
        <w:spacing w:after="0" w:line="240" w:lineRule="auto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/>
          <w:b/>
          <w:bCs/>
          <w:sz w:val="24"/>
          <w:szCs w:val="24"/>
        </w:rPr>
        <w:tab/>
      </w:r>
      <w:r w:rsidRPr="00613719">
        <w:rPr>
          <w:rFonts w:ascii="SimHei" w:eastAsia="SimHei" w:hAnsi="SimHei"/>
          <w:b/>
          <w:bCs/>
          <w:sz w:val="24"/>
          <w:szCs w:val="24"/>
        </w:rPr>
        <w:tab/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们纵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然失信，</w:t>
      </w:r>
    </w:p>
    <w:p w14:paraId="61F2089E" w14:textId="77777777" w:rsidR="002D07FB" w:rsidRPr="00613719" w:rsidRDefault="002D07FB" w:rsidP="002D07FB">
      <w:pPr>
        <w:tabs>
          <w:tab w:val="left" w:pos="720"/>
        </w:tabs>
        <w:spacing w:after="0" w:line="240" w:lineRule="auto"/>
        <w:ind w:left="1440" w:firstLineChars="144" w:firstLine="347"/>
        <w:contextualSpacing/>
        <w:rPr>
          <w:rFonts w:ascii="SimHei" w:eastAsia="SimHei" w:hAnsi="SimHei" w:cs="MS Mincho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他仍是可信的，</w:t>
      </w:r>
      <w:r w:rsidRPr="00613719">
        <w:rPr>
          <w:rFonts w:ascii="SimHei" w:eastAsia="SimHei" w:hAnsi="SimHei"/>
          <w:b/>
          <w:bCs/>
          <w:sz w:val="24"/>
          <w:szCs w:val="24"/>
        </w:rPr>
        <w:br/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因</w:t>
      </w:r>
      <w:r w:rsidRPr="00613719">
        <w:rPr>
          <w:rFonts w:ascii="SimHei" w:eastAsia="SimHei" w:hAnsi="SimHei" w:cs="SimSun" w:hint="eastAsia"/>
          <w:b/>
          <w:bCs/>
          <w:sz w:val="24"/>
          <w:szCs w:val="24"/>
        </w:rPr>
        <w:t>为</w:t>
      </w:r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他</w:t>
      </w:r>
      <w:proofErr w:type="gramStart"/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不能背乎自己</w:t>
      </w:r>
      <w:proofErr w:type="gramEnd"/>
      <w:r w:rsidRPr="00613719">
        <w:rPr>
          <w:rFonts w:ascii="SimHei" w:eastAsia="SimHei" w:hAnsi="SimHei" w:cs="MS Mincho" w:hint="eastAsia"/>
          <w:b/>
          <w:bCs/>
          <w:sz w:val="24"/>
          <w:szCs w:val="24"/>
        </w:rPr>
        <w:t>。</w:t>
      </w:r>
    </w:p>
    <w:p w14:paraId="1D416F2A" w14:textId="77777777" w:rsidR="002D07FB" w:rsidRPr="00613719" w:rsidRDefault="002D07FB" w:rsidP="002D07FB">
      <w:pPr>
        <w:tabs>
          <w:tab w:val="left" w:pos="720"/>
        </w:tabs>
        <w:spacing w:after="0" w:line="240" w:lineRule="auto"/>
        <w:ind w:left="1440" w:firstLineChars="144" w:firstLine="347"/>
        <w:contextualSpacing/>
        <w:rPr>
          <w:rFonts w:ascii="SimHei" w:eastAsia="SimHei" w:hAnsi="SimHei" w:cs="MS Mincho"/>
          <w:b/>
          <w:bCs/>
          <w:sz w:val="24"/>
          <w:szCs w:val="24"/>
        </w:rPr>
      </w:pPr>
    </w:p>
    <w:p w14:paraId="725268F5" w14:textId="77777777" w:rsidR="008B100E" w:rsidRPr="00613719" w:rsidRDefault="008B100E" w:rsidP="002D07F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5E9182E0" w14:textId="77777777" w:rsidR="008B100E" w:rsidRPr="00613719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0E00D322" w14:textId="25C71473" w:rsidR="008B100E" w:rsidRPr="00172F17" w:rsidRDefault="008B100E" w:rsidP="00172F17">
      <w:pPr>
        <w:numPr>
          <w:ilvl w:val="1"/>
          <w:numId w:val="1"/>
        </w:numPr>
        <w:spacing w:after="0" w:line="240" w:lineRule="auto"/>
        <w:ind w:left="90" w:hanging="9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  <w:r w:rsidR="00172F17">
        <w:rPr>
          <w:rFonts w:ascii="SimHei" w:eastAsia="SimHei" w:hAnsi="SimHei"/>
          <w:b/>
          <w:bCs/>
          <w:sz w:val="24"/>
          <w:szCs w:val="24"/>
        </w:rPr>
        <w:t>2</w:t>
      </w:r>
      <w:r w:rsidRPr="00172F17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1D34B50D" w14:textId="11C9AF86" w:rsidR="008B100E" w:rsidRPr="00613719" w:rsidRDefault="00172F17" w:rsidP="00172F17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>
        <w:rPr>
          <w:rFonts w:ascii="SimHei" w:eastAsia="SimHei" w:hAnsi="SimHei"/>
          <w:b/>
          <w:bCs/>
          <w:sz w:val="24"/>
          <w:szCs w:val="24"/>
        </w:rPr>
        <w:t>3</w:t>
      </w:r>
      <w:r w:rsidR="008B100E" w:rsidRPr="00613719">
        <w:rPr>
          <w:rFonts w:ascii="SimHei" w:eastAsia="SimHei" w:hAnsi="SimHei" w:hint="eastAsia"/>
          <w:b/>
          <w:bCs/>
          <w:sz w:val="24"/>
          <w:szCs w:val="24"/>
        </w:rPr>
        <w:t>归纳式查经法（</w:t>
      </w:r>
      <w:r w:rsidR="008B100E" w:rsidRPr="00613719">
        <w:rPr>
          <w:rFonts w:ascii="SimHei" w:eastAsia="SimHei" w:hAnsi="SimHei"/>
          <w:b/>
          <w:bCs/>
          <w:sz w:val="24"/>
          <w:szCs w:val="24"/>
        </w:rPr>
        <w:t>上</w:t>
      </w:r>
      <w:proofErr w:type="gramStart"/>
      <w:r w:rsidR="008B100E" w:rsidRPr="00613719">
        <w:rPr>
          <w:rFonts w:ascii="SimHei" w:eastAsia="SimHei" w:hAnsi="SimHei"/>
          <w:b/>
          <w:bCs/>
          <w:sz w:val="24"/>
          <w:szCs w:val="24"/>
        </w:rPr>
        <w:t>）</w:t>
      </w:r>
      <w:r>
        <w:rPr>
          <w:rFonts w:ascii="SimHei" w:eastAsia="SimHei" w:hAnsi="SimHei"/>
          <w:b/>
          <w:bCs/>
          <w:sz w:val="24"/>
          <w:szCs w:val="24"/>
        </w:rPr>
        <w:t>;</w:t>
      </w:r>
      <w:r w:rsidR="008B100E" w:rsidRPr="00613719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="008B100E" w:rsidRPr="00613719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0A12737E" w14:textId="77777777" w:rsidR="008B100E" w:rsidRPr="00613719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77A110FC" w14:textId="10C07533" w:rsidR="008B100E" w:rsidRPr="00172F17" w:rsidRDefault="00172F17" w:rsidP="00172F17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>
        <w:rPr>
          <w:rFonts w:ascii="SimHei" w:eastAsia="SimHei" w:hAnsi="SimHei" w:hint="eastAsia"/>
          <w:b/>
          <w:bCs/>
          <w:sz w:val="24"/>
          <w:szCs w:val="24"/>
        </w:rPr>
        <w:t>1</w:t>
      </w:r>
      <w:r w:rsidR="008B100E" w:rsidRPr="00613719">
        <w:rPr>
          <w:rFonts w:ascii="SimHei" w:eastAsia="SimHei" w:hAnsi="SimHei" w:hint="eastAsia"/>
          <w:b/>
          <w:bCs/>
          <w:sz w:val="24"/>
          <w:szCs w:val="24"/>
        </w:rPr>
        <w:t>学习旧约</w:t>
      </w:r>
      <w:r>
        <w:rPr>
          <w:rFonts w:ascii="SimHei" w:eastAsia="SimHei" w:hAnsi="SimHei"/>
          <w:b/>
          <w:bCs/>
          <w:sz w:val="24"/>
          <w:szCs w:val="24"/>
        </w:rPr>
        <w:t>,3</w:t>
      </w:r>
      <w:r w:rsidR="008B100E" w:rsidRPr="00172F17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791578D9" w14:textId="77777777" w:rsidR="008B100E" w:rsidRPr="00613719" w:rsidRDefault="008B100E" w:rsidP="00172F17">
      <w:pPr>
        <w:numPr>
          <w:ilvl w:val="1"/>
          <w:numId w:val="1"/>
        </w:numPr>
        <w:spacing w:after="0" w:line="240" w:lineRule="auto"/>
        <w:ind w:left="90" w:hanging="9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47CA1863" w14:textId="77777777" w:rsidR="008B100E" w:rsidRPr="00613719" w:rsidRDefault="008B100E" w:rsidP="00F30FB2">
      <w:pPr>
        <w:numPr>
          <w:ilvl w:val="1"/>
          <w:numId w:val="1"/>
        </w:numPr>
        <w:spacing w:after="0" w:line="240" w:lineRule="auto"/>
        <w:ind w:left="0" w:firstLine="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2F167C09" w14:textId="77777777" w:rsidR="008B100E" w:rsidRPr="00613719" w:rsidRDefault="008B100E" w:rsidP="00F30FB2">
      <w:pPr>
        <w:numPr>
          <w:ilvl w:val="1"/>
          <w:numId w:val="1"/>
        </w:numPr>
        <w:tabs>
          <w:tab w:val="left" w:pos="1080"/>
        </w:tabs>
        <w:spacing w:after="0" w:line="240" w:lineRule="auto"/>
        <w:ind w:left="0" w:firstLine="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0CA13898" w14:textId="77777777" w:rsidR="008B100E" w:rsidRPr="00613719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2004D219" w14:textId="77777777" w:rsidR="008B100E" w:rsidRPr="00613719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73FCC95E" w14:textId="77777777" w:rsidR="008B100E" w:rsidRPr="00613719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43C61582" w14:textId="77777777" w:rsidR="008B100E" w:rsidRPr="00613719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2133E788" w14:textId="77777777" w:rsidR="008B100E" w:rsidRPr="00613719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0E48A3CE" w14:textId="77777777" w:rsidR="00F30FB2" w:rsidRDefault="00F30FB2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5F4614EF" w14:textId="6D7A7789" w:rsidR="008B100E" w:rsidRPr="00613719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13719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613719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613719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1E9E0E6F" w14:textId="77777777" w:rsidR="008B100E" w:rsidRPr="00613719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E1C2A" w:rsidRPr="00613719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2D07FB" w:rsidRPr="00613719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613719">
        <w:rPr>
          <w:rFonts w:ascii="SimHei" w:eastAsia="SimHei" w:hAnsi="SimHei"/>
          <w:b/>
          <w:bCs/>
          <w:sz w:val="24"/>
          <w:szCs w:val="24"/>
        </w:rPr>
        <w:t>：</w:t>
      </w:r>
      <w:r w:rsidR="002D07FB" w:rsidRPr="00613719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309C8A99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“神吩咐这一切的话……”（出20:1）</w:t>
      </w:r>
    </w:p>
    <w:p w14:paraId="007DD3FF" w14:textId="77777777" w:rsidR="002D07FB" w:rsidRPr="00613719" w:rsidRDefault="002D07FB" w:rsidP="002D07F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结构</w:t>
      </w:r>
    </w:p>
    <w:p w14:paraId="763A8AE4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理解一段经文的结构，可以问两个问题</w:t>
      </w:r>
    </w:p>
    <w:p w14:paraId="3EEF41F1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</w:p>
    <w:p w14:paraId="7BC19C54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有时结构清楚</w:t>
      </w:r>
    </w:p>
    <w:p w14:paraId="4D97444A" w14:textId="77777777" w:rsidR="002D07FB" w:rsidRPr="00613719" w:rsidRDefault="002D07FB" w:rsidP="002D07FB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613719">
        <w:rPr>
          <w:rFonts w:ascii="SimHei" w:eastAsia="SimHei" w:hAnsi="SimHei"/>
          <w:b/>
          <w:bCs/>
          <w:sz w:val="24"/>
          <w:szCs w:val="24"/>
        </w:rPr>
        <w:t xml:space="preserve"> 1.19-51</w:t>
      </w:r>
    </w:p>
    <w:p w14:paraId="3F23BBCD" w14:textId="77777777" w:rsidR="002D07FB" w:rsidRPr="00613719" w:rsidRDefault="002D07FB" w:rsidP="002D07FB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以赛亚书</w:t>
      </w:r>
      <w:r w:rsidRPr="00613719">
        <w:rPr>
          <w:rFonts w:ascii="SimHei" w:eastAsia="SimHei" w:hAnsi="SimHei"/>
          <w:b/>
          <w:bCs/>
          <w:sz w:val="24"/>
          <w:szCs w:val="24"/>
        </w:rPr>
        <w:t xml:space="preserve"> 40.3-11</w:t>
      </w:r>
    </w:p>
    <w:p w14:paraId="58E8770C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</w:p>
    <w:p w14:paraId="692BDD73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有时我们不得不寻找线索</w:t>
      </w:r>
    </w:p>
    <w:p w14:paraId="52DB79AA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</w:p>
    <w:p w14:paraId="48D75662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理解各个部分，再将它们重新组合到一起</w:t>
      </w:r>
    </w:p>
    <w:p w14:paraId="0819CF76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</w:p>
    <w:p w14:paraId="61389DE2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课堂练习：约翰福音</w:t>
      </w:r>
      <w:r w:rsidRPr="00613719">
        <w:rPr>
          <w:rFonts w:ascii="SimHei" w:eastAsia="SimHei" w:hAnsi="SimHei"/>
          <w:b/>
          <w:bCs/>
          <w:sz w:val="24"/>
          <w:szCs w:val="24"/>
        </w:rPr>
        <w:t xml:space="preserve"> 18:12-27</w:t>
      </w:r>
    </w:p>
    <w:p w14:paraId="540DD3E6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那队兵和千夫长并犹太人的差役就拿住耶稣，把他捆绑了，先带到亚那面前，因为亚那是本年作大祭司该亚法的岳父。这该亚法就是从前向犹太人发议论说“一个人替百姓死是有益的”那位。西门彼得跟着耶稣，还有一个门徒跟着，那门徒是大祭司所认识的，他就同耶稣进了大祭司的院子。彼得却站在门外；大祭司所认识的那个门徒出来，和看门的使女说了一声，就领彼得进去。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lastRenderedPageBreak/>
        <w:t>那看门的使女对彼得说：“你不也是这人的门徒吗？”他说：“我不是。”仆人和差役因为天冷，就生了炭火，站在那里烤火，彼得也同他们站着烤火。大祭司就以耶稣的门徒和他的教训盘问他。耶稣回答说：“我从来是明明地对世人说话，我常在会堂和</w:t>
      </w:r>
      <w:proofErr w:type="gramStart"/>
      <w:r w:rsidRPr="00613719">
        <w:rPr>
          <w:rFonts w:ascii="SimHei" w:eastAsia="SimHei" w:hAnsi="SimHei" w:hint="eastAsia"/>
          <w:b/>
          <w:bCs/>
          <w:sz w:val="24"/>
          <w:szCs w:val="24"/>
        </w:rPr>
        <w:t>殿里</w:t>
      </w:r>
      <w:proofErr w:type="gramEnd"/>
      <w:r w:rsidRPr="00613719">
        <w:rPr>
          <w:rFonts w:ascii="SimHei" w:eastAsia="SimHei" w:hAnsi="SimHei" w:hint="eastAsia"/>
          <w:b/>
          <w:bCs/>
          <w:sz w:val="24"/>
          <w:szCs w:val="24"/>
        </w:rPr>
        <w:t>，就是犹太人聚集的地方教训人；我在暗地里并没有说什么。你为什么问我呢？可以问那听见的人，我对他们说的是什么；我所说的，他们都知道。”耶稣说了这话，旁边站着的一个差役用手掌打他，说：“你这样回答大祭司吗？”耶稣说：“我若说得不是，你可以指证那不是；我若说得是，你为什么打我呢？”亚那就把耶稣解到大祭司该亚法那里，仍是捆着解去的。西门彼得正站着烤火，有人对他说：“你不也是他的门徒吗？”彼得不承认，说：“我不是。”有大祭司的一个仆人，是彼得削掉耳朵那人的亲属，说：“我不是看见你同他在园子里吗？”彼得又不承认。立时鸡就叫了。</w:t>
      </w:r>
    </w:p>
    <w:p w14:paraId="3186EE81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</w:p>
    <w:p w14:paraId="20789D70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首尾呼应</w:t>
      </w:r>
    </w:p>
    <w:p w14:paraId="4E3C8B9B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例子：</w:t>
      </w:r>
      <w:r w:rsidRPr="00613719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罗马书的开头和结尾</w:t>
      </w:r>
    </w:p>
    <w:p w14:paraId="03C4A2D0" w14:textId="77777777" w:rsidR="002D07FB" w:rsidRPr="00613719" w:rsidRDefault="002D07FB" w:rsidP="002D07F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“我们从他受了恩惠并使徒的职分，在万国之中叫人为他的名信服真道”（罗1:5）</w:t>
      </w:r>
    </w:p>
    <w:p w14:paraId="29A6AF73" w14:textId="77777777" w:rsidR="002D07FB" w:rsidRPr="00613719" w:rsidRDefault="002D07FB" w:rsidP="002D07F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“这奥秘如今显明出来，而且按着永生　神的</w:t>
      </w:r>
      <w:r w:rsidR="00EE4FB5" w:rsidRPr="00613719">
        <w:rPr>
          <w:rFonts w:ascii="SimHei" w:eastAsia="SimHei" w:hAnsi="SimHei" w:hint="eastAsia"/>
          <w:b/>
          <w:bCs/>
          <w:sz w:val="24"/>
          <w:szCs w:val="24"/>
        </w:rPr>
        <w:t>名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，藉众先知的书指示万国的民，使他们信服真道”（罗16:26）</w:t>
      </w:r>
    </w:p>
    <w:p w14:paraId="7AA596DB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例子：登山宝训  太5:3-10</w:t>
      </w:r>
    </w:p>
    <w:p w14:paraId="3D9945B9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交错配列</w:t>
      </w:r>
    </w:p>
    <w:p w14:paraId="3C148EEB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课堂练习：创11:1-8——巴别塔</w:t>
      </w:r>
    </w:p>
    <w:p w14:paraId="7BBB967F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那时，天下人</w:t>
      </w:r>
    </w:p>
    <w:p w14:paraId="66899120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的口音言语都是一样。</w:t>
      </w:r>
    </w:p>
    <w:p w14:paraId="469176BB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他们往东边迁移的时候，在示拿地遇见一片平原，就住在那里。</w:t>
      </w:r>
    </w:p>
    <w:p w14:paraId="5584B24F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他们彼此商量说：“来吧，我们要作砖……”</w:t>
      </w:r>
    </w:p>
    <w:p w14:paraId="5EB95A63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他们说：“来吧，我们要建造一座城和一座塔……</w:t>
      </w:r>
    </w:p>
    <w:p w14:paraId="07CD7211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  <w:u w:val="single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  <w:u w:val="single"/>
        </w:rPr>
        <w:t>耶和华降临，</w:t>
      </w:r>
    </w:p>
    <w:p w14:paraId="6F9DB171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要看看世人所建造的城和塔。</w:t>
      </w:r>
    </w:p>
    <w:p w14:paraId="0FAD2FE5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耶和华说：“……我们下去，在那里变乱……</w:t>
      </w:r>
    </w:p>
    <w:p w14:paraId="021310C7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那城名叫巴别，因为在那里</w:t>
      </w:r>
    </w:p>
    <w:p w14:paraId="307758B1" w14:textId="77777777" w:rsidR="002D07FB" w:rsidRPr="00613719" w:rsidRDefault="002D07FB" w:rsidP="002D07FB">
      <w:pPr>
        <w:spacing w:line="240" w:lineRule="auto"/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耶和华……变乱[言语]</w:t>
      </w:r>
    </w:p>
    <w:p w14:paraId="6D925332" w14:textId="77777777" w:rsidR="002D07FB" w:rsidRPr="00613719" w:rsidRDefault="002D07FB" w:rsidP="002D07F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天下人的</w:t>
      </w:r>
    </w:p>
    <w:p w14:paraId="218E8E4A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（交错配列的其他例子：但以理书</w:t>
      </w:r>
      <w:r w:rsidRPr="00613719">
        <w:rPr>
          <w:rFonts w:ascii="SimHei" w:eastAsia="SimHei" w:hAnsi="SimHei"/>
          <w:b/>
          <w:bCs/>
          <w:sz w:val="24"/>
          <w:szCs w:val="24"/>
        </w:rPr>
        <w:t>2-7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（章的交错配列）；约翰福音1:1-2；约拿书</w:t>
      </w:r>
      <w:r w:rsidRPr="00613719">
        <w:rPr>
          <w:rFonts w:ascii="SimHei" w:eastAsia="SimHei" w:hAnsi="SimHei"/>
          <w:b/>
          <w:bCs/>
          <w:sz w:val="24"/>
          <w:szCs w:val="24"/>
        </w:rPr>
        <w:t>1.4-15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613719">
        <w:rPr>
          <w:rFonts w:ascii="SimHei" w:eastAsia="SimHei" w:hAnsi="SimHei"/>
          <w:b/>
          <w:bCs/>
          <w:sz w:val="24"/>
          <w:szCs w:val="24"/>
        </w:rPr>
        <w:br/>
      </w:r>
    </w:p>
    <w:p w14:paraId="74F580BA" w14:textId="77777777" w:rsidR="002D07FB" w:rsidRPr="00613719" w:rsidRDefault="002D07FB" w:rsidP="002D07F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平行</w:t>
      </w:r>
    </w:p>
    <w:p w14:paraId="0958433B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地和其中所充满的，</w:t>
      </w:r>
    </w:p>
    <w:p w14:paraId="1A17D207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世界和住在其间的，</w:t>
      </w:r>
    </w:p>
    <w:p w14:paraId="1EE114BC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都属耶和华。</w:t>
      </w:r>
    </w:p>
    <w:p w14:paraId="3BE540FF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他把地建立在海上，</w:t>
      </w:r>
    </w:p>
    <w:p w14:paraId="64FB422A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13719">
        <w:rPr>
          <w:rFonts w:ascii="SimHei" w:eastAsia="SimHei" w:hAnsi="SimHei" w:hint="eastAsia"/>
          <w:b/>
          <w:bCs/>
          <w:sz w:val="24"/>
          <w:szCs w:val="24"/>
        </w:rPr>
        <w:t>安定在</w:t>
      </w:r>
      <w:proofErr w:type="gramEnd"/>
      <w:r w:rsidRPr="00613719">
        <w:rPr>
          <w:rFonts w:ascii="SimHei" w:eastAsia="SimHei" w:hAnsi="SimHei" w:hint="eastAsia"/>
          <w:b/>
          <w:bCs/>
          <w:sz w:val="24"/>
          <w:szCs w:val="24"/>
        </w:rPr>
        <w:t>大水之上。（诗篇</w:t>
      </w:r>
      <w:r w:rsidRPr="00613719">
        <w:rPr>
          <w:rFonts w:ascii="SimHei" w:eastAsia="SimHei" w:hAnsi="SimHei"/>
          <w:b/>
          <w:bCs/>
          <w:sz w:val="24"/>
          <w:szCs w:val="24"/>
        </w:rPr>
        <w:t>24:1-2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62622B2" w14:textId="77777777" w:rsidR="002D07FB" w:rsidRPr="00613719" w:rsidRDefault="002D07FB" w:rsidP="002D07FB">
      <w:pPr>
        <w:spacing w:after="0" w:line="240" w:lineRule="auto"/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500DCD8C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  <w:u w:val="single"/>
        </w:rPr>
        <w:t>反义平行</w:t>
      </w:r>
    </w:p>
    <w:p w14:paraId="3C934741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愚妄人怒气全发，</w:t>
      </w:r>
    </w:p>
    <w:p w14:paraId="792168D1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智慧人忍气含怒。（箴言</w:t>
      </w:r>
      <w:r w:rsidRPr="00613719">
        <w:rPr>
          <w:rFonts w:ascii="SimHei" w:eastAsia="SimHei" w:hAnsi="SimHei"/>
          <w:b/>
          <w:bCs/>
          <w:sz w:val="24"/>
          <w:szCs w:val="24"/>
        </w:rPr>
        <w:t>29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613719">
        <w:rPr>
          <w:rFonts w:ascii="SimHei" w:eastAsia="SimHei" w:hAnsi="SimHei"/>
          <w:b/>
          <w:bCs/>
          <w:sz w:val="24"/>
          <w:szCs w:val="24"/>
        </w:rPr>
        <w:t>11</w:t>
      </w:r>
      <w:r w:rsidRPr="0061371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1BF22D3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</w:p>
    <w:p w14:paraId="6CA7A6BB" w14:textId="77777777" w:rsidR="002D07FB" w:rsidRPr="00613719" w:rsidRDefault="002D07FB" w:rsidP="002D07FB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  <w:u w:val="single"/>
        </w:rPr>
        <w:t>交错配列平行</w:t>
      </w:r>
    </w:p>
    <w:p w14:paraId="76B448F8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lastRenderedPageBreak/>
        <w:t>“一个人不能侍奉两个主。</w:t>
      </w:r>
    </w:p>
    <w:p w14:paraId="7D6047CD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不是</w:t>
      </w:r>
      <w:proofErr w:type="gramStart"/>
      <w:r w:rsidRPr="00613719">
        <w:rPr>
          <w:rFonts w:ascii="SimHei" w:eastAsia="SimHei" w:hAnsi="SimHei" w:hint="eastAsia"/>
          <w:b/>
          <w:bCs/>
          <w:sz w:val="24"/>
          <w:szCs w:val="24"/>
        </w:rPr>
        <w:t>恶这个</w:t>
      </w:r>
      <w:proofErr w:type="gramEnd"/>
      <w:r w:rsidRPr="00613719">
        <w:rPr>
          <w:rFonts w:ascii="SimHei" w:eastAsia="SimHei" w:hAnsi="SimHei" w:hint="eastAsia"/>
          <w:b/>
          <w:bCs/>
          <w:sz w:val="24"/>
          <w:szCs w:val="24"/>
        </w:rPr>
        <w:t>爱那个，</w:t>
      </w:r>
    </w:p>
    <w:p w14:paraId="71AF9176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就是</w:t>
      </w:r>
      <w:proofErr w:type="gramStart"/>
      <w:r w:rsidRPr="00613719">
        <w:rPr>
          <w:rFonts w:ascii="SimHei" w:eastAsia="SimHei" w:hAnsi="SimHei" w:hint="eastAsia"/>
          <w:b/>
          <w:bCs/>
          <w:sz w:val="24"/>
          <w:szCs w:val="24"/>
        </w:rPr>
        <w:t>重这个轻</w:t>
      </w:r>
      <w:proofErr w:type="gramEnd"/>
      <w:r w:rsidRPr="00613719">
        <w:rPr>
          <w:rFonts w:ascii="SimHei" w:eastAsia="SimHei" w:hAnsi="SimHei" w:hint="eastAsia"/>
          <w:b/>
          <w:bCs/>
          <w:sz w:val="24"/>
          <w:szCs w:val="24"/>
        </w:rPr>
        <w:t>那个。</w:t>
      </w:r>
    </w:p>
    <w:p w14:paraId="776C3DCC" w14:textId="77777777" w:rsidR="002D07FB" w:rsidRPr="00613719" w:rsidRDefault="002D07FB" w:rsidP="002D07FB">
      <w:pPr>
        <w:ind w:left="720"/>
        <w:contextualSpacing/>
        <w:rPr>
          <w:rFonts w:ascii="SimHei" w:eastAsia="SimHei" w:hAnsi="SimHei"/>
          <w:b/>
          <w:bCs/>
          <w:sz w:val="24"/>
          <w:szCs w:val="24"/>
        </w:rPr>
      </w:pPr>
      <w:r w:rsidRPr="00613719">
        <w:rPr>
          <w:rFonts w:ascii="SimHei" w:eastAsia="SimHei" w:hAnsi="SimHei" w:hint="eastAsia"/>
          <w:b/>
          <w:bCs/>
          <w:sz w:val="24"/>
          <w:szCs w:val="24"/>
        </w:rPr>
        <w:t>你们不能又侍奉　神，又侍奉</w:t>
      </w:r>
      <w:proofErr w:type="gramStart"/>
      <w:r w:rsidRPr="00613719">
        <w:rPr>
          <w:rFonts w:ascii="SimHei" w:eastAsia="SimHei" w:hAnsi="SimHei" w:hint="eastAsia"/>
          <w:b/>
          <w:bCs/>
          <w:sz w:val="24"/>
          <w:szCs w:val="24"/>
        </w:rPr>
        <w:t>玛</w:t>
      </w:r>
      <w:proofErr w:type="gramEnd"/>
      <w:r w:rsidRPr="00613719">
        <w:rPr>
          <w:rFonts w:ascii="SimHei" w:eastAsia="SimHei" w:hAnsi="SimHei" w:hint="eastAsia"/>
          <w:b/>
          <w:bCs/>
          <w:sz w:val="24"/>
          <w:szCs w:val="24"/>
        </w:rPr>
        <w:t>门。”（太6:24）</w:t>
      </w:r>
    </w:p>
    <w:sectPr w:rsidR="002D07FB" w:rsidRPr="00613719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8622" w14:textId="77777777" w:rsidR="000763BF" w:rsidRDefault="000763BF" w:rsidP="00C41AF5">
      <w:pPr>
        <w:spacing w:after="0" w:line="240" w:lineRule="auto"/>
      </w:pPr>
      <w:r>
        <w:separator/>
      </w:r>
    </w:p>
  </w:endnote>
  <w:endnote w:type="continuationSeparator" w:id="0">
    <w:p w14:paraId="1C7AEA11" w14:textId="77777777" w:rsidR="000763BF" w:rsidRDefault="000763BF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62CD7FD-7AA0-49AB-8F3E-F4AF2FC9E7FC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5C8CD" w14:textId="77777777" w:rsidR="000763BF" w:rsidRDefault="000763BF" w:rsidP="00C41AF5">
      <w:pPr>
        <w:spacing w:after="0" w:line="240" w:lineRule="auto"/>
      </w:pPr>
      <w:r>
        <w:separator/>
      </w:r>
    </w:p>
  </w:footnote>
  <w:footnote w:type="continuationSeparator" w:id="0">
    <w:p w14:paraId="18C8F379" w14:textId="77777777" w:rsidR="000763BF" w:rsidRDefault="000763BF" w:rsidP="00C4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C21E3"/>
    <w:multiLevelType w:val="hybridMultilevel"/>
    <w:tmpl w:val="A41C4814"/>
    <w:lvl w:ilvl="0" w:tplc="424C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AAC7A8D"/>
    <w:multiLevelType w:val="hybridMultilevel"/>
    <w:tmpl w:val="A7C2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469301">
    <w:abstractNumId w:val="10"/>
  </w:num>
  <w:num w:numId="2" w16cid:durableId="1805654336">
    <w:abstractNumId w:val="11"/>
  </w:num>
  <w:num w:numId="3" w16cid:durableId="1932666610">
    <w:abstractNumId w:val="1"/>
  </w:num>
  <w:num w:numId="4" w16cid:durableId="1170634256">
    <w:abstractNumId w:val="9"/>
  </w:num>
  <w:num w:numId="5" w16cid:durableId="833453682">
    <w:abstractNumId w:val="2"/>
  </w:num>
  <w:num w:numId="6" w16cid:durableId="717239692">
    <w:abstractNumId w:val="7"/>
  </w:num>
  <w:num w:numId="7" w16cid:durableId="98258812">
    <w:abstractNumId w:val="8"/>
  </w:num>
  <w:num w:numId="8" w16cid:durableId="1354303735">
    <w:abstractNumId w:val="5"/>
  </w:num>
  <w:num w:numId="9" w16cid:durableId="1564371005">
    <w:abstractNumId w:val="6"/>
  </w:num>
  <w:num w:numId="10" w16cid:durableId="2084792506">
    <w:abstractNumId w:val="3"/>
  </w:num>
  <w:num w:numId="11" w16cid:durableId="1420713487">
    <w:abstractNumId w:val="4"/>
  </w:num>
  <w:num w:numId="12" w16cid:durableId="1573079047">
    <w:abstractNumId w:val="11"/>
  </w:num>
  <w:num w:numId="13" w16cid:durableId="1031224007">
    <w:abstractNumId w:val="12"/>
  </w:num>
  <w:num w:numId="14" w16cid:durableId="1114522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03D20"/>
    <w:rsid w:val="00011D99"/>
    <w:rsid w:val="00067B3B"/>
    <w:rsid w:val="000763BF"/>
    <w:rsid w:val="00087218"/>
    <w:rsid w:val="00172F17"/>
    <w:rsid w:val="00294FFB"/>
    <w:rsid w:val="002D07FB"/>
    <w:rsid w:val="002D2F86"/>
    <w:rsid w:val="00364B73"/>
    <w:rsid w:val="003E1C2A"/>
    <w:rsid w:val="00461339"/>
    <w:rsid w:val="004C1759"/>
    <w:rsid w:val="00613719"/>
    <w:rsid w:val="00663FA3"/>
    <w:rsid w:val="006E70E6"/>
    <w:rsid w:val="0072079B"/>
    <w:rsid w:val="007D34A1"/>
    <w:rsid w:val="008B100E"/>
    <w:rsid w:val="00932024"/>
    <w:rsid w:val="009C5BD3"/>
    <w:rsid w:val="009D54C8"/>
    <w:rsid w:val="00A84ADC"/>
    <w:rsid w:val="00AF1AF7"/>
    <w:rsid w:val="00B850B6"/>
    <w:rsid w:val="00BA4ABB"/>
    <w:rsid w:val="00BC5549"/>
    <w:rsid w:val="00C41AF5"/>
    <w:rsid w:val="00C544C7"/>
    <w:rsid w:val="00CB1EAA"/>
    <w:rsid w:val="00E67B5A"/>
    <w:rsid w:val="00EE4FB5"/>
    <w:rsid w:val="00F15FD7"/>
    <w:rsid w:val="00F3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24B44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  <w:style w:type="paragraph" w:customStyle="1" w:styleId="Sub-heading">
    <w:name w:val="Sub-heading"/>
    <w:next w:val="Normal"/>
    <w:rsid w:val="00AF1AF7"/>
    <w:pPr>
      <w:keepNext/>
      <w:spacing w:after="0" w:line="240" w:lineRule="auto"/>
    </w:pPr>
    <w:rPr>
      <w:rFonts w:ascii="Helvetica" w:eastAsia="ヒラギノ角ゴ Pro W3" w:hAnsi="Helvetica" w:cs="Times New Roman"/>
      <w:b/>
      <w:color w:val="00000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5442A-2891-447B-B897-665EE03AB8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7B7825-CE30-4AF7-8206-5CF4294E7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4F3338-6361-40D7-9F9F-3CBC2B59C5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0CAFE9-FB9E-492A-B4A3-4E5B65A33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16</cp:revision>
  <dcterms:created xsi:type="dcterms:W3CDTF">2015-05-27T07:53:00Z</dcterms:created>
  <dcterms:modified xsi:type="dcterms:W3CDTF">2023-09-08T04:57:00Z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